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right="632"/>
        <w:rPr>
          <w:rFonts w:hint="eastAsia" w:ascii="黑体" w:hAnsi="黑体" w:eastAsia="黑体"/>
          <w:sz w:val="32"/>
          <w:szCs w:val="32"/>
        </w:rPr>
      </w:pPr>
      <w:r>
        <w:rPr>
          <w:rFonts w:ascii="黑体" w:hAnsi="黑体" w:eastAsia="黑体"/>
          <w:sz w:val="32"/>
          <w:szCs w:val="32"/>
        </w:rPr>
        <w:t>附件1</w:t>
      </w:r>
    </w:p>
    <w:p>
      <w:pPr>
        <w:widowControl/>
        <w:spacing w:line="560" w:lineRule="exact"/>
        <w:ind w:right="632"/>
        <w:rPr>
          <w:rFonts w:ascii="黑体" w:hAnsi="黑体" w:eastAsia="黑体"/>
          <w:sz w:val="32"/>
          <w:szCs w:val="32"/>
        </w:rPr>
      </w:pPr>
    </w:p>
    <w:p>
      <w:pPr>
        <w:snapToGrid w:val="0"/>
        <w:spacing w:line="560" w:lineRule="exact"/>
        <w:jc w:val="center"/>
        <w:rPr>
          <w:rFonts w:hint="eastAsia" w:eastAsia="方正小标宋简体"/>
          <w:sz w:val="44"/>
          <w:szCs w:val="44"/>
        </w:rPr>
      </w:pPr>
      <w:bookmarkStart w:id="0" w:name="_GoBack"/>
      <w:r>
        <w:rPr>
          <w:rFonts w:eastAsia="方正小标宋简体"/>
          <w:sz w:val="44"/>
          <w:szCs w:val="44"/>
        </w:rPr>
        <w:t>第七届全国青年科普创新实验暨作品大赛</w:t>
      </w:r>
    </w:p>
    <w:p>
      <w:pPr>
        <w:snapToGrid w:val="0"/>
        <w:spacing w:line="560" w:lineRule="exact"/>
        <w:jc w:val="center"/>
        <w:rPr>
          <w:rFonts w:eastAsia="方正小标宋简体"/>
          <w:sz w:val="44"/>
          <w:szCs w:val="44"/>
        </w:rPr>
      </w:pPr>
      <w:r>
        <w:rPr>
          <w:rFonts w:eastAsia="方正小标宋简体"/>
          <w:sz w:val="44"/>
          <w:szCs w:val="44"/>
        </w:rPr>
        <w:t>新疆赛区活动方案</w:t>
      </w:r>
    </w:p>
    <w:bookmarkEnd w:id="0"/>
    <w:p>
      <w:pPr>
        <w:snapToGrid w:val="0"/>
        <w:spacing w:line="560" w:lineRule="exact"/>
        <w:ind w:firstLine="640" w:firstLineChars="200"/>
        <w:rPr>
          <w:rFonts w:hint="eastAsia" w:eastAsia="黑体"/>
          <w:sz w:val="32"/>
          <w:szCs w:val="32"/>
        </w:rPr>
      </w:pPr>
    </w:p>
    <w:p>
      <w:pPr>
        <w:snapToGrid w:val="0"/>
        <w:spacing w:line="560" w:lineRule="exact"/>
        <w:ind w:firstLine="640" w:firstLineChars="200"/>
        <w:rPr>
          <w:rFonts w:eastAsia="黑体"/>
          <w:sz w:val="32"/>
          <w:szCs w:val="32"/>
        </w:rPr>
      </w:pPr>
      <w:r>
        <w:rPr>
          <w:rFonts w:eastAsia="黑体"/>
          <w:sz w:val="32"/>
          <w:szCs w:val="32"/>
        </w:rPr>
        <w:t>一、活动背景</w:t>
      </w:r>
    </w:p>
    <w:p>
      <w:pPr>
        <w:snapToGrid w:val="0"/>
        <w:spacing w:line="560" w:lineRule="exact"/>
        <w:ind w:firstLine="640" w:firstLineChars="200"/>
        <w:rPr>
          <w:rFonts w:eastAsia="仿宋_GB2312"/>
          <w:sz w:val="32"/>
          <w:szCs w:val="32"/>
        </w:rPr>
      </w:pPr>
      <w:r>
        <w:rPr>
          <w:rFonts w:eastAsia="仿宋_GB2312"/>
          <w:sz w:val="32"/>
          <w:szCs w:val="32"/>
        </w:rPr>
        <w:t>为贯彻落实党的十九大关于“加快建设创新型国家，要瞄准世界科技前沿，强化基础研究，实现前瞻性基础研究、引领性原创成果重大突破”的要求，第七届大赛围绕“智能、安全、环保”三大主题，延续往届“创意作品”及“科普实验”两个单元的划分，重点关注前沿科学技术及科学教育理念的应用与普及，考察青少年“发现问题、解决问题及动手实践”能力。</w:t>
      </w:r>
    </w:p>
    <w:p>
      <w:pPr>
        <w:snapToGrid w:val="0"/>
        <w:spacing w:line="560" w:lineRule="exact"/>
        <w:ind w:firstLine="640" w:firstLineChars="200"/>
        <w:rPr>
          <w:rFonts w:eastAsia="黑体"/>
          <w:sz w:val="32"/>
          <w:szCs w:val="32"/>
        </w:rPr>
      </w:pPr>
      <w:r>
        <w:rPr>
          <w:rFonts w:eastAsia="黑体"/>
          <w:sz w:val="32"/>
          <w:szCs w:val="32"/>
        </w:rPr>
        <w:t>二、活动时间</w:t>
      </w:r>
    </w:p>
    <w:p>
      <w:pPr>
        <w:snapToGrid w:val="0"/>
        <w:spacing w:line="560" w:lineRule="exact"/>
        <w:ind w:firstLine="640" w:firstLineChars="200"/>
        <w:rPr>
          <w:rFonts w:eastAsia="仿宋_GB2312"/>
          <w:sz w:val="32"/>
          <w:szCs w:val="32"/>
        </w:rPr>
      </w:pPr>
      <w:r>
        <w:rPr>
          <w:rFonts w:eastAsia="仿宋_GB2312"/>
          <w:sz w:val="32"/>
          <w:szCs w:val="32"/>
        </w:rPr>
        <w:t>2020年11月-2021年3月</w:t>
      </w:r>
    </w:p>
    <w:p>
      <w:pPr>
        <w:snapToGrid w:val="0"/>
        <w:spacing w:line="560" w:lineRule="exact"/>
        <w:ind w:firstLine="640" w:firstLineChars="200"/>
        <w:rPr>
          <w:rFonts w:eastAsia="黑体"/>
          <w:sz w:val="32"/>
          <w:szCs w:val="32"/>
        </w:rPr>
      </w:pPr>
      <w:r>
        <w:rPr>
          <w:rFonts w:eastAsia="黑体"/>
          <w:sz w:val="32"/>
          <w:szCs w:val="32"/>
        </w:rPr>
        <w:t>三、组织机构</w:t>
      </w:r>
    </w:p>
    <w:p>
      <w:pPr>
        <w:snapToGrid w:val="0"/>
        <w:spacing w:line="560" w:lineRule="exact"/>
        <w:ind w:firstLine="640" w:firstLineChars="200"/>
        <w:rPr>
          <w:rFonts w:ascii="楷体" w:hAnsi="楷体" w:eastAsia="楷体"/>
          <w:sz w:val="32"/>
          <w:szCs w:val="32"/>
        </w:rPr>
      </w:pPr>
      <w:r>
        <w:rPr>
          <w:rFonts w:ascii="楷体" w:hAnsi="楷体" w:eastAsia="楷体"/>
          <w:sz w:val="32"/>
          <w:szCs w:val="32"/>
        </w:rPr>
        <w:t>（一）主承办单位</w:t>
      </w:r>
    </w:p>
    <w:p>
      <w:pPr>
        <w:widowControl/>
        <w:spacing w:line="560" w:lineRule="exact"/>
        <w:ind w:firstLine="640" w:firstLineChars="200"/>
        <w:jc w:val="left"/>
        <w:rPr>
          <w:rFonts w:eastAsia="仿宋_GB2312"/>
          <w:color w:val="000000"/>
          <w:sz w:val="32"/>
          <w:szCs w:val="32"/>
          <w:shd w:val="clear" w:color="auto" w:fill="FFFFFF"/>
        </w:rPr>
      </w:pPr>
      <w:r>
        <w:rPr>
          <w:rFonts w:eastAsia="仿宋_GB2312"/>
          <w:color w:val="000000"/>
          <w:sz w:val="32"/>
          <w:szCs w:val="32"/>
          <w:shd w:val="clear" w:color="auto" w:fill="FFFFFF"/>
        </w:rPr>
        <w:t xml:space="preserve">新疆赛区主办单位：自治区科学技术协会 </w:t>
      </w:r>
    </w:p>
    <w:p>
      <w:pPr>
        <w:widowControl/>
        <w:spacing w:line="560" w:lineRule="exact"/>
        <w:ind w:firstLine="640" w:firstLineChars="200"/>
        <w:jc w:val="left"/>
        <w:rPr>
          <w:rFonts w:eastAsia="仿宋_GB2312"/>
          <w:color w:val="000000"/>
          <w:sz w:val="32"/>
          <w:szCs w:val="32"/>
          <w:shd w:val="clear" w:color="auto" w:fill="FFFFFF"/>
        </w:rPr>
      </w:pPr>
      <w:r>
        <w:rPr>
          <w:rFonts w:eastAsia="仿宋_GB2312"/>
          <w:color w:val="000000"/>
          <w:sz w:val="32"/>
          <w:szCs w:val="32"/>
          <w:shd w:val="clear" w:color="auto" w:fill="FFFFFF"/>
        </w:rPr>
        <w:t xml:space="preserve">                  兵团科学技术协会 </w:t>
      </w:r>
    </w:p>
    <w:p>
      <w:pPr>
        <w:snapToGrid w:val="0"/>
        <w:spacing w:line="56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新疆赛区承办单位：新疆科学技术馆</w:t>
      </w:r>
    </w:p>
    <w:p>
      <w:pPr>
        <w:snapToGrid w:val="0"/>
        <w:spacing w:line="560" w:lineRule="exact"/>
        <w:ind w:firstLine="3520" w:firstLineChars="1100"/>
        <w:rPr>
          <w:rFonts w:eastAsia="仿宋_GB2312"/>
          <w:color w:val="000000"/>
          <w:sz w:val="30"/>
          <w:szCs w:val="30"/>
          <w:shd w:val="clear" w:color="auto" w:fill="FFFFFF"/>
        </w:rPr>
      </w:pPr>
      <w:r>
        <w:rPr>
          <w:rFonts w:eastAsia="仿宋_GB2312"/>
          <w:color w:val="000000"/>
          <w:sz w:val="32"/>
          <w:szCs w:val="32"/>
          <w:shd w:val="clear" w:color="auto" w:fill="FFFFFF"/>
        </w:rPr>
        <w:t xml:space="preserve">自治区科普活动中心 </w:t>
      </w:r>
    </w:p>
    <w:p>
      <w:pPr>
        <w:snapToGrid w:val="0"/>
        <w:spacing w:line="560" w:lineRule="exact"/>
        <w:ind w:firstLine="3520" w:firstLineChars="1100"/>
        <w:rPr>
          <w:rFonts w:hint="eastAsia" w:eastAsia="仿宋"/>
          <w:color w:val="000000"/>
          <w:sz w:val="32"/>
          <w:szCs w:val="32"/>
          <w:shd w:val="clear" w:color="auto" w:fill="FFFFFF"/>
        </w:rPr>
      </w:pPr>
      <w:r>
        <w:rPr>
          <w:rFonts w:eastAsia="仿宋"/>
          <w:color w:val="000000"/>
          <w:sz w:val="32"/>
          <w:szCs w:val="32"/>
          <w:shd w:val="clear" w:color="auto" w:fill="FFFFFF"/>
        </w:rPr>
        <w:t>自治区科学技术服务中心</w:t>
      </w:r>
    </w:p>
    <w:p>
      <w:pPr>
        <w:snapToGrid w:val="0"/>
        <w:spacing w:line="560" w:lineRule="exact"/>
        <w:ind w:firstLine="640" w:firstLineChars="200"/>
        <w:rPr>
          <w:rFonts w:hint="eastAsia" w:eastAsia="仿宋"/>
          <w:sz w:val="32"/>
          <w:szCs w:val="32"/>
          <w:shd w:val="clear" w:color="auto" w:fill="FFFFFF"/>
        </w:rPr>
      </w:pPr>
      <w:r>
        <w:rPr>
          <w:rFonts w:eastAsia="仿宋"/>
          <w:sz w:val="32"/>
          <w:szCs w:val="32"/>
          <w:shd w:val="clear" w:color="auto" w:fill="FFFFFF"/>
        </w:rPr>
        <w:t>新疆赛区</w:t>
      </w:r>
      <w:r>
        <w:rPr>
          <w:rFonts w:hint="eastAsia" w:eastAsia="仿宋"/>
          <w:sz w:val="32"/>
          <w:szCs w:val="32"/>
          <w:shd w:val="clear" w:color="auto" w:fill="FFFFFF"/>
          <w:lang w:eastAsia="zh-CN"/>
        </w:rPr>
        <w:t>协办</w:t>
      </w:r>
      <w:r>
        <w:rPr>
          <w:rFonts w:eastAsia="仿宋"/>
          <w:sz w:val="32"/>
          <w:szCs w:val="32"/>
          <w:shd w:val="clear" w:color="auto" w:fill="FFFFFF"/>
        </w:rPr>
        <w:t>单位：</w:t>
      </w:r>
      <w:r>
        <w:rPr>
          <w:rFonts w:hint="eastAsia" w:eastAsia="仿宋"/>
          <w:sz w:val="32"/>
          <w:szCs w:val="32"/>
          <w:shd w:val="clear" w:color="auto" w:fill="FFFFFF"/>
        </w:rPr>
        <w:t>新疆新媒体中心</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55" w:firstLineChars="151"/>
        <w:jc w:val="left"/>
        <w:textAlignment w:val="auto"/>
        <w:rPr>
          <w:rFonts w:eastAsia="仿宋"/>
          <w:color w:val="000000"/>
          <w:sz w:val="32"/>
          <w:szCs w:val="32"/>
          <w:shd w:val="clear" w:color="auto" w:fill="FFFFFF"/>
        </w:rPr>
      </w:pPr>
      <w:r>
        <w:rPr>
          <w:rFonts w:hint="eastAsia" w:eastAsia="仿宋"/>
          <w:color w:val="000000"/>
          <w:spacing w:val="57"/>
          <w:kern w:val="0"/>
          <w:sz w:val="32"/>
          <w:szCs w:val="32"/>
          <w:shd w:val="clear" w:color="auto" w:fill="FFFFFF"/>
          <w:fitText w:val="2528" w:id="0"/>
        </w:rPr>
        <w:t>独家公益支持</w:t>
      </w:r>
      <w:r>
        <w:rPr>
          <w:rFonts w:eastAsia="仿宋"/>
          <w:spacing w:val="-23"/>
          <w:sz w:val="32"/>
          <w:szCs w:val="32"/>
          <w:shd w:val="clear" w:color="auto" w:fill="FFFFFF"/>
        </w:rPr>
        <w:t>：</w:t>
      </w:r>
      <w:r>
        <w:rPr>
          <w:rFonts w:eastAsia="仿宋_GB2312"/>
          <w:color w:val="000000"/>
          <w:sz w:val="32"/>
          <w:szCs w:val="32"/>
        </w:rPr>
        <w:t>三星（中国）投资有限公司</w:t>
      </w:r>
    </w:p>
    <w:p>
      <w:pPr>
        <w:snapToGrid w:val="0"/>
        <w:spacing w:line="560" w:lineRule="exact"/>
        <w:ind w:firstLine="640" w:firstLineChars="200"/>
        <w:rPr>
          <w:rFonts w:ascii="楷体" w:hAnsi="楷体" w:eastAsia="楷体"/>
          <w:sz w:val="32"/>
          <w:szCs w:val="32"/>
        </w:rPr>
      </w:pPr>
      <w:r>
        <w:rPr>
          <w:rFonts w:ascii="楷体" w:hAnsi="楷体" w:eastAsia="楷体"/>
          <w:sz w:val="32"/>
          <w:szCs w:val="32"/>
        </w:rPr>
        <w:t>（二）组织委员会</w:t>
      </w:r>
    </w:p>
    <w:p>
      <w:pPr>
        <w:snapToGrid w:val="0"/>
        <w:spacing w:line="560" w:lineRule="exact"/>
        <w:ind w:firstLine="640" w:firstLineChars="200"/>
        <w:rPr>
          <w:rFonts w:eastAsia="仿宋_GB2312"/>
          <w:sz w:val="32"/>
          <w:szCs w:val="32"/>
        </w:rPr>
      </w:pPr>
      <w:r>
        <w:rPr>
          <w:rFonts w:eastAsia="仿宋_GB2312"/>
          <w:sz w:val="32"/>
          <w:szCs w:val="32"/>
        </w:rPr>
        <w:t>负责总体统筹大赛相关工作，负责大赛方案制定和组织管理工作。</w:t>
      </w:r>
    </w:p>
    <w:p>
      <w:pPr>
        <w:snapToGrid w:val="0"/>
        <w:spacing w:line="560" w:lineRule="exact"/>
        <w:ind w:firstLine="640" w:firstLineChars="200"/>
        <w:rPr>
          <w:rFonts w:ascii="楷体" w:hAnsi="楷体" w:eastAsia="楷体"/>
          <w:sz w:val="32"/>
          <w:szCs w:val="32"/>
        </w:rPr>
      </w:pPr>
      <w:r>
        <w:rPr>
          <w:rFonts w:ascii="楷体" w:hAnsi="楷体" w:eastAsia="楷体"/>
          <w:sz w:val="32"/>
          <w:szCs w:val="32"/>
        </w:rPr>
        <w:t>（三）专家委员会</w:t>
      </w:r>
    </w:p>
    <w:p>
      <w:pPr>
        <w:snapToGrid w:val="0"/>
        <w:spacing w:line="560" w:lineRule="exact"/>
        <w:ind w:firstLine="640" w:firstLineChars="200"/>
        <w:rPr>
          <w:rFonts w:eastAsia="仿宋_GB2312"/>
          <w:sz w:val="32"/>
          <w:szCs w:val="32"/>
        </w:rPr>
      </w:pPr>
      <w:r>
        <w:rPr>
          <w:rFonts w:eastAsia="仿宋_GB2312"/>
          <w:sz w:val="32"/>
          <w:szCs w:val="32"/>
        </w:rPr>
        <w:t>专家委员会下设评审组。评审组负责评审参赛作品，审核把关作品科学性、真实性等。</w:t>
      </w:r>
    </w:p>
    <w:p>
      <w:pPr>
        <w:snapToGrid w:val="0"/>
        <w:spacing w:line="560" w:lineRule="exact"/>
        <w:ind w:firstLine="640" w:firstLineChars="200"/>
        <w:rPr>
          <w:rFonts w:ascii="楷体" w:hAnsi="楷体" w:eastAsia="楷体"/>
          <w:sz w:val="32"/>
          <w:szCs w:val="32"/>
        </w:rPr>
      </w:pPr>
      <w:r>
        <w:rPr>
          <w:rFonts w:ascii="楷体" w:hAnsi="楷体" w:eastAsia="楷体"/>
          <w:sz w:val="32"/>
          <w:szCs w:val="32"/>
        </w:rPr>
        <w:t>（四）监审委员会</w:t>
      </w:r>
    </w:p>
    <w:p>
      <w:pPr>
        <w:snapToGrid w:val="0"/>
        <w:spacing w:line="560" w:lineRule="exact"/>
        <w:ind w:firstLine="640" w:firstLineChars="200"/>
        <w:rPr>
          <w:rFonts w:eastAsia="仿宋_GB2312"/>
          <w:sz w:val="32"/>
          <w:szCs w:val="32"/>
        </w:rPr>
      </w:pPr>
      <w:r>
        <w:rPr>
          <w:rFonts w:eastAsia="仿宋_GB2312"/>
          <w:sz w:val="32"/>
          <w:szCs w:val="32"/>
        </w:rPr>
        <w:t>负责过程监督和申诉仲裁，监督保障大赛公平公正。</w:t>
      </w:r>
    </w:p>
    <w:p>
      <w:pPr>
        <w:snapToGrid w:val="0"/>
        <w:spacing w:line="560" w:lineRule="exact"/>
        <w:rPr>
          <w:rFonts w:eastAsia="黑体"/>
          <w:sz w:val="32"/>
          <w:szCs w:val="32"/>
        </w:rPr>
      </w:pPr>
      <w:r>
        <w:rPr>
          <w:rFonts w:eastAsia="黑体"/>
          <w:sz w:val="32"/>
          <w:szCs w:val="32"/>
        </w:rPr>
        <w:t xml:space="preserve">    四、赛区设置</w:t>
      </w:r>
    </w:p>
    <w:p>
      <w:pPr>
        <w:snapToGrid w:val="0"/>
        <w:spacing w:line="560" w:lineRule="exact"/>
        <w:rPr>
          <w:rFonts w:eastAsia="仿宋_GB2312"/>
          <w:sz w:val="32"/>
          <w:szCs w:val="32"/>
        </w:rPr>
      </w:pPr>
      <w:r>
        <w:rPr>
          <w:rFonts w:eastAsia="黑体"/>
          <w:sz w:val="32"/>
          <w:szCs w:val="32"/>
        </w:rPr>
        <w:t xml:space="preserve">    </w:t>
      </w:r>
      <w:r>
        <w:rPr>
          <w:rFonts w:eastAsia="仿宋_GB2312"/>
          <w:sz w:val="32"/>
          <w:szCs w:val="32"/>
        </w:rPr>
        <w:t>新疆赛区</w:t>
      </w:r>
    </w:p>
    <w:p>
      <w:pPr>
        <w:snapToGrid w:val="0"/>
        <w:spacing w:line="560" w:lineRule="exact"/>
        <w:ind w:firstLine="640" w:firstLineChars="200"/>
        <w:rPr>
          <w:rFonts w:eastAsia="黑体"/>
          <w:sz w:val="32"/>
          <w:szCs w:val="32"/>
        </w:rPr>
      </w:pPr>
      <w:r>
        <w:rPr>
          <w:rFonts w:eastAsia="黑体"/>
          <w:sz w:val="32"/>
          <w:szCs w:val="32"/>
        </w:rPr>
        <w:t>五、参赛对象及赛区设置</w:t>
      </w:r>
    </w:p>
    <w:p>
      <w:pPr>
        <w:snapToGrid w:val="0"/>
        <w:spacing w:line="560" w:lineRule="exact"/>
        <w:ind w:firstLine="640" w:firstLineChars="200"/>
        <w:rPr>
          <w:rFonts w:eastAsia="仿宋_GB2312"/>
          <w:sz w:val="32"/>
          <w:szCs w:val="32"/>
        </w:rPr>
      </w:pPr>
      <w:r>
        <w:rPr>
          <w:rFonts w:eastAsia="仿宋_GB2312"/>
          <w:sz w:val="32"/>
          <w:szCs w:val="32"/>
        </w:rPr>
        <w:t>参赛对象</w:t>
      </w:r>
      <w:r>
        <w:rPr>
          <w:rFonts w:hint="eastAsia" w:eastAsia="仿宋_GB2312"/>
          <w:sz w:val="32"/>
          <w:szCs w:val="32"/>
        </w:rPr>
        <w:t>：</w:t>
      </w:r>
      <w:r>
        <w:rPr>
          <w:rFonts w:eastAsia="仿宋_GB2312"/>
          <w:sz w:val="32"/>
          <w:szCs w:val="32"/>
        </w:rPr>
        <w:t>参赛对象分为两类。</w:t>
      </w:r>
    </w:p>
    <w:p>
      <w:pPr>
        <w:snapToGrid w:val="0"/>
        <w:spacing w:line="560" w:lineRule="exact"/>
        <w:ind w:firstLine="640" w:firstLineChars="200"/>
        <w:rPr>
          <w:rFonts w:eastAsia="仿宋_GB2312"/>
          <w:sz w:val="32"/>
          <w:szCs w:val="32"/>
        </w:rPr>
      </w:pPr>
      <w:r>
        <w:rPr>
          <w:rFonts w:eastAsia="仿宋_GB2312"/>
          <w:sz w:val="32"/>
          <w:szCs w:val="32"/>
        </w:rPr>
        <w:t>第一类为中学组，参赛对象为全疆普通中学在校学生，包括初中、中专、技校、高中等。</w:t>
      </w:r>
    </w:p>
    <w:p>
      <w:pPr>
        <w:snapToGrid w:val="0"/>
        <w:spacing w:line="560" w:lineRule="exact"/>
        <w:ind w:firstLine="640" w:firstLineChars="200"/>
        <w:rPr>
          <w:rFonts w:eastAsia="仿宋_GB2312"/>
          <w:sz w:val="32"/>
          <w:szCs w:val="32"/>
        </w:rPr>
      </w:pPr>
      <w:r>
        <w:rPr>
          <w:rFonts w:eastAsia="仿宋_GB2312"/>
          <w:sz w:val="32"/>
          <w:szCs w:val="32"/>
        </w:rPr>
        <w:t>第二类为大学组，参赛对象为全疆高校在校学生，包括高职、大专、本科、研究生等。</w:t>
      </w:r>
    </w:p>
    <w:p>
      <w:pPr>
        <w:snapToGrid w:val="0"/>
        <w:spacing w:line="560" w:lineRule="exact"/>
        <w:ind w:firstLine="640" w:firstLineChars="200"/>
        <w:rPr>
          <w:rFonts w:eastAsia="仿宋_GB2312"/>
          <w:sz w:val="32"/>
          <w:szCs w:val="32"/>
        </w:rPr>
      </w:pPr>
      <w:r>
        <w:rPr>
          <w:rFonts w:eastAsia="仿宋_GB2312"/>
          <w:sz w:val="32"/>
          <w:szCs w:val="32"/>
        </w:rPr>
        <w:t>每支参赛队伍由参赛选手和指导老师组成，最多2名队员、1名学校指导教师。此外，进入决赛的参赛队伍须有1名科技馆指导教师。</w:t>
      </w:r>
    </w:p>
    <w:p>
      <w:pPr>
        <w:snapToGrid w:val="0"/>
        <w:spacing w:line="560" w:lineRule="exact"/>
        <w:ind w:firstLine="640" w:firstLineChars="200"/>
        <w:rPr>
          <w:rFonts w:eastAsia="黑体"/>
          <w:sz w:val="32"/>
          <w:szCs w:val="32"/>
        </w:rPr>
      </w:pPr>
      <w:r>
        <w:rPr>
          <w:rFonts w:eastAsia="黑体"/>
          <w:sz w:val="32"/>
          <w:szCs w:val="32"/>
        </w:rPr>
        <w:t>六、赛制设置</w:t>
      </w:r>
    </w:p>
    <w:p>
      <w:pPr>
        <w:snapToGrid w:val="0"/>
        <w:spacing w:line="560" w:lineRule="exact"/>
        <w:ind w:firstLine="640" w:firstLineChars="200"/>
        <w:rPr>
          <w:rFonts w:ascii="楷体" w:hAnsi="楷体" w:eastAsia="楷体"/>
          <w:sz w:val="32"/>
          <w:szCs w:val="32"/>
        </w:rPr>
      </w:pPr>
      <w:r>
        <w:rPr>
          <w:rFonts w:ascii="楷体" w:hAnsi="楷体" w:eastAsia="楷体"/>
          <w:sz w:val="32"/>
          <w:szCs w:val="32"/>
        </w:rPr>
        <w:t>（一）大赛命题</w:t>
      </w:r>
    </w:p>
    <w:p>
      <w:pPr>
        <w:snapToGrid w:val="0"/>
        <w:spacing w:line="560" w:lineRule="exact"/>
        <w:ind w:firstLine="640" w:firstLineChars="200"/>
        <w:rPr>
          <w:rFonts w:eastAsia="仿宋_GB2312"/>
          <w:sz w:val="32"/>
          <w:szCs w:val="32"/>
        </w:rPr>
      </w:pPr>
      <w:r>
        <w:rPr>
          <w:rFonts w:eastAsia="仿宋_GB2312"/>
          <w:sz w:val="32"/>
          <w:szCs w:val="32"/>
        </w:rPr>
        <w:t>大赛设“创意作品”和“科普实验”两个单元，其中“创意作品”单元设“未来教育”和“智能控制”两个命题，着眼于现实问题的科普产品研发等；“科普实验”单元设“生物环境”和“风能利用”两个命题，突出任务驱动型活动，将竞赛与科技馆教育活动紧密结合。</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359"/>
        <w:gridCol w:w="1275"/>
        <w:gridCol w:w="5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056" w:type="dxa"/>
            <w:noWrap w:val="0"/>
            <w:vAlign w:val="center"/>
          </w:tcPr>
          <w:p>
            <w:pPr>
              <w:snapToGrid w:val="0"/>
              <w:spacing w:line="400" w:lineRule="exact"/>
              <w:jc w:val="center"/>
              <w:rPr>
                <w:rFonts w:ascii="黑体" w:hAnsi="黑体" w:eastAsia="黑体"/>
                <w:sz w:val="28"/>
                <w:szCs w:val="28"/>
              </w:rPr>
            </w:pPr>
            <w:r>
              <w:rPr>
                <w:rFonts w:ascii="黑体" w:hAnsi="黑体" w:eastAsia="黑体"/>
                <w:sz w:val="28"/>
                <w:szCs w:val="28"/>
              </w:rPr>
              <w:t>类别</w:t>
            </w:r>
          </w:p>
        </w:tc>
        <w:tc>
          <w:tcPr>
            <w:tcW w:w="1359" w:type="dxa"/>
            <w:noWrap w:val="0"/>
            <w:vAlign w:val="center"/>
          </w:tcPr>
          <w:p>
            <w:pPr>
              <w:snapToGrid w:val="0"/>
              <w:spacing w:line="400" w:lineRule="exact"/>
              <w:jc w:val="center"/>
              <w:rPr>
                <w:rFonts w:ascii="黑体" w:hAnsi="黑体" w:eastAsia="黑体"/>
                <w:sz w:val="28"/>
                <w:szCs w:val="28"/>
              </w:rPr>
            </w:pPr>
            <w:r>
              <w:rPr>
                <w:rFonts w:ascii="黑体" w:hAnsi="黑体" w:eastAsia="黑体"/>
                <w:sz w:val="28"/>
                <w:szCs w:val="28"/>
              </w:rPr>
              <w:t>命题</w:t>
            </w:r>
          </w:p>
        </w:tc>
        <w:tc>
          <w:tcPr>
            <w:tcW w:w="1275" w:type="dxa"/>
            <w:noWrap w:val="0"/>
            <w:vAlign w:val="top"/>
          </w:tcPr>
          <w:p>
            <w:pPr>
              <w:snapToGrid w:val="0"/>
              <w:spacing w:line="400" w:lineRule="exact"/>
              <w:jc w:val="center"/>
              <w:rPr>
                <w:rFonts w:ascii="黑体" w:hAnsi="黑体" w:eastAsia="黑体"/>
                <w:sz w:val="28"/>
                <w:szCs w:val="28"/>
              </w:rPr>
            </w:pPr>
            <w:r>
              <w:rPr>
                <w:rFonts w:ascii="黑体" w:hAnsi="黑体" w:eastAsia="黑体"/>
                <w:sz w:val="28"/>
                <w:szCs w:val="28"/>
              </w:rPr>
              <w:t>对象</w:t>
            </w:r>
          </w:p>
        </w:tc>
        <w:tc>
          <w:tcPr>
            <w:tcW w:w="5283" w:type="dxa"/>
            <w:noWrap w:val="0"/>
            <w:vAlign w:val="center"/>
          </w:tcPr>
          <w:p>
            <w:pPr>
              <w:snapToGrid w:val="0"/>
              <w:spacing w:line="400" w:lineRule="exact"/>
              <w:jc w:val="center"/>
              <w:rPr>
                <w:rFonts w:ascii="黑体" w:hAnsi="黑体" w:eastAsia="黑体"/>
                <w:sz w:val="28"/>
                <w:szCs w:val="28"/>
              </w:rPr>
            </w:pPr>
            <w:r>
              <w:rPr>
                <w:rFonts w:ascii="黑体" w:hAnsi="黑体" w:eastAsia="黑体"/>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56" w:type="dxa"/>
            <w:vMerge w:val="restart"/>
            <w:noWrap w:val="0"/>
            <w:vAlign w:val="center"/>
          </w:tcPr>
          <w:p>
            <w:pPr>
              <w:snapToGrid w:val="0"/>
              <w:spacing w:line="400" w:lineRule="exact"/>
              <w:jc w:val="center"/>
              <w:rPr>
                <w:rFonts w:eastAsia="方正仿宋_GBK"/>
                <w:sz w:val="28"/>
                <w:szCs w:val="28"/>
              </w:rPr>
            </w:pPr>
            <w:r>
              <w:rPr>
                <w:rFonts w:eastAsia="方正仿宋_GBK"/>
                <w:sz w:val="28"/>
                <w:szCs w:val="28"/>
              </w:rPr>
              <w:t>创意作品单元</w:t>
            </w:r>
          </w:p>
        </w:tc>
        <w:tc>
          <w:tcPr>
            <w:tcW w:w="1359" w:type="dxa"/>
            <w:noWrap w:val="0"/>
            <w:vAlign w:val="center"/>
          </w:tcPr>
          <w:p>
            <w:pPr>
              <w:snapToGrid w:val="0"/>
              <w:spacing w:line="400" w:lineRule="exact"/>
              <w:jc w:val="center"/>
              <w:rPr>
                <w:rFonts w:eastAsia="方正仿宋_GBK"/>
                <w:sz w:val="28"/>
                <w:szCs w:val="28"/>
              </w:rPr>
            </w:pPr>
            <w:r>
              <w:rPr>
                <w:rFonts w:eastAsia="方正仿宋_GBK"/>
                <w:sz w:val="28"/>
                <w:szCs w:val="28"/>
              </w:rPr>
              <w:t>未来教育</w:t>
            </w:r>
          </w:p>
        </w:tc>
        <w:tc>
          <w:tcPr>
            <w:tcW w:w="1275" w:type="dxa"/>
            <w:noWrap w:val="0"/>
            <w:vAlign w:val="center"/>
          </w:tcPr>
          <w:p>
            <w:pPr>
              <w:snapToGrid w:val="0"/>
              <w:spacing w:line="400" w:lineRule="exact"/>
              <w:jc w:val="center"/>
              <w:rPr>
                <w:rFonts w:eastAsia="方正仿宋_GBK"/>
                <w:sz w:val="28"/>
                <w:szCs w:val="28"/>
              </w:rPr>
            </w:pPr>
            <w:r>
              <w:rPr>
                <w:rFonts w:eastAsia="方正仿宋_GBK"/>
                <w:sz w:val="28"/>
                <w:szCs w:val="28"/>
              </w:rPr>
              <w:t>大学组</w:t>
            </w:r>
          </w:p>
        </w:tc>
        <w:tc>
          <w:tcPr>
            <w:tcW w:w="5283" w:type="dxa"/>
            <w:noWrap w:val="0"/>
            <w:vAlign w:val="center"/>
          </w:tcPr>
          <w:p>
            <w:pPr>
              <w:snapToGrid w:val="0"/>
              <w:spacing w:line="400" w:lineRule="exact"/>
              <w:rPr>
                <w:rFonts w:eastAsia="方正仿宋_GBK"/>
                <w:sz w:val="28"/>
                <w:szCs w:val="28"/>
              </w:rPr>
            </w:pPr>
            <w:r>
              <w:rPr>
                <w:rFonts w:eastAsia="方正仿宋_GBK"/>
                <w:sz w:val="28"/>
                <w:szCs w:val="28"/>
              </w:rPr>
              <w:t>自选材料，</w:t>
            </w:r>
            <w:r>
              <w:rPr>
                <w:rFonts w:eastAsia="方正仿宋_GBK"/>
                <w:sz w:val="28"/>
                <w:szCs w:val="28"/>
                <w:lang w:val="en"/>
              </w:rPr>
              <w:t>围绕公共安全、环境保护等方面，</w:t>
            </w:r>
            <w:r>
              <w:rPr>
                <w:rFonts w:eastAsia="方正仿宋_GBK"/>
                <w:sz w:val="28"/>
                <w:szCs w:val="28"/>
              </w:rPr>
              <w:t>设计制作科普展品、文创衍生品等，通过公众易于接受的形式，传播科学知识及理念。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056" w:type="dxa"/>
            <w:vMerge w:val="continue"/>
            <w:noWrap w:val="0"/>
            <w:vAlign w:val="center"/>
          </w:tcPr>
          <w:p>
            <w:pPr>
              <w:snapToGrid w:val="0"/>
              <w:spacing w:line="400" w:lineRule="exact"/>
              <w:jc w:val="center"/>
              <w:rPr>
                <w:rFonts w:eastAsia="方正仿宋_GBK"/>
                <w:sz w:val="28"/>
                <w:szCs w:val="28"/>
              </w:rPr>
            </w:pPr>
          </w:p>
        </w:tc>
        <w:tc>
          <w:tcPr>
            <w:tcW w:w="1359" w:type="dxa"/>
            <w:vMerge w:val="restart"/>
            <w:noWrap w:val="0"/>
            <w:vAlign w:val="center"/>
          </w:tcPr>
          <w:p>
            <w:pPr>
              <w:snapToGrid w:val="0"/>
              <w:spacing w:line="400" w:lineRule="exact"/>
              <w:jc w:val="center"/>
              <w:rPr>
                <w:rFonts w:eastAsia="方正仿宋_GBK"/>
                <w:sz w:val="28"/>
                <w:szCs w:val="28"/>
              </w:rPr>
            </w:pPr>
            <w:r>
              <w:rPr>
                <w:rFonts w:eastAsia="方正仿宋_GBK"/>
                <w:sz w:val="28"/>
                <w:szCs w:val="28"/>
              </w:rPr>
              <w:t>智能控制</w:t>
            </w:r>
          </w:p>
        </w:tc>
        <w:tc>
          <w:tcPr>
            <w:tcW w:w="1275" w:type="dxa"/>
            <w:noWrap w:val="0"/>
            <w:vAlign w:val="center"/>
          </w:tcPr>
          <w:p>
            <w:pPr>
              <w:snapToGrid w:val="0"/>
              <w:spacing w:line="400" w:lineRule="exact"/>
              <w:jc w:val="center"/>
              <w:rPr>
                <w:rFonts w:eastAsia="方正仿宋_GBK"/>
                <w:sz w:val="28"/>
                <w:szCs w:val="28"/>
                <w:lang w:val="en"/>
              </w:rPr>
            </w:pPr>
            <w:r>
              <w:rPr>
                <w:rFonts w:eastAsia="方正仿宋_GBK"/>
                <w:sz w:val="28"/>
                <w:szCs w:val="28"/>
                <w:lang w:val="en"/>
              </w:rPr>
              <w:t>大学组</w:t>
            </w:r>
          </w:p>
        </w:tc>
        <w:tc>
          <w:tcPr>
            <w:tcW w:w="5283" w:type="dxa"/>
            <w:vMerge w:val="restart"/>
            <w:noWrap w:val="0"/>
            <w:vAlign w:val="center"/>
          </w:tcPr>
          <w:p>
            <w:pPr>
              <w:snapToGrid w:val="0"/>
              <w:spacing w:line="400" w:lineRule="exact"/>
              <w:rPr>
                <w:rFonts w:eastAsia="方正仿宋_GBK"/>
                <w:sz w:val="28"/>
                <w:szCs w:val="28"/>
              </w:rPr>
            </w:pPr>
            <w:r>
              <w:rPr>
                <w:rFonts w:eastAsia="方正仿宋_GBK"/>
                <w:sz w:val="28"/>
                <w:szCs w:val="28"/>
                <w:lang w:val="en"/>
              </w:rPr>
              <w:t>尝试发现生活中的相关问题，利用人工智能、自动控制等方面的技术实现既定目标，创作参赛作品解决问题。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056" w:type="dxa"/>
            <w:vMerge w:val="continue"/>
            <w:noWrap w:val="0"/>
            <w:vAlign w:val="center"/>
          </w:tcPr>
          <w:p>
            <w:pPr>
              <w:snapToGrid w:val="0"/>
              <w:spacing w:line="400" w:lineRule="exact"/>
              <w:jc w:val="center"/>
              <w:rPr>
                <w:rFonts w:eastAsia="方正仿宋_GBK"/>
                <w:sz w:val="28"/>
                <w:szCs w:val="28"/>
              </w:rPr>
            </w:pPr>
          </w:p>
        </w:tc>
        <w:tc>
          <w:tcPr>
            <w:tcW w:w="1359" w:type="dxa"/>
            <w:vMerge w:val="continue"/>
            <w:noWrap w:val="0"/>
            <w:vAlign w:val="center"/>
          </w:tcPr>
          <w:p>
            <w:pPr>
              <w:snapToGrid w:val="0"/>
              <w:spacing w:line="400" w:lineRule="exact"/>
              <w:jc w:val="center"/>
              <w:rPr>
                <w:rFonts w:eastAsia="方正仿宋_GBK"/>
                <w:sz w:val="28"/>
                <w:szCs w:val="28"/>
              </w:rPr>
            </w:pPr>
          </w:p>
        </w:tc>
        <w:tc>
          <w:tcPr>
            <w:tcW w:w="1275" w:type="dxa"/>
            <w:noWrap w:val="0"/>
            <w:vAlign w:val="center"/>
          </w:tcPr>
          <w:p>
            <w:pPr>
              <w:snapToGrid w:val="0"/>
              <w:spacing w:line="400" w:lineRule="exact"/>
              <w:jc w:val="center"/>
              <w:rPr>
                <w:rFonts w:eastAsia="方正仿宋_GBK"/>
                <w:sz w:val="28"/>
                <w:szCs w:val="28"/>
                <w:lang w:val="en"/>
              </w:rPr>
            </w:pPr>
            <w:r>
              <w:rPr>
                <w:rFonts w:eastAsia="方正仿宋_GBK"/>
                <w:sz w:val="28"/>
                <w:szCs w:val="28"/>
                <w:lang w:val="en"/>
              </w:rPr>
              <w:t>中学组</w:t>
            </w:r>
          </w:p>
        </w:tc>
        <w:tc>
          <w:tcPr>
            <w:tcW w:w="5283" w:type="dxa"/>
            <w:vMerge w:val="continue"/>
            <w:noWrap w:val="0"/>
            <w:vAlign w:val="center"/>
          </w:tcPr>
          <w:p>
            <w:pPr>
              <w:snapToGrid w:val="0"/>
              <w:spacing w:line="400" w:lineRule="exact"/>
              <w:rPr>
                <w:rFonts w:eastAsia="方正仿宋_GBK"/>
                <w:sz w:val="28"/>
                <w:szCs w:val="28"/>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056" w:type="dxa"/>
            <w:vMerge w:val="restart"/>
            <w:noWrap w:val="0"/>
            <w:vAlign w:val="center"/>
          </w:tcPr>
          <w:p>
            <w:pPr>
              <w:snapToGrid w:val="0"/>
              <w:spacing w:line="400" w:lineRule="exact"/>
              <w:jc w:val="center"/>
              <w:rPr>
                <w:rFonts w:eastAsia="方正仿宋_GBK"/>
                <w:sz w:val="28"/>
                <w:szCs w:val="28"/>
              </w:rPr>
            </w:pPr>
            <w:r>
              <w:rPr>
                <w:rFonts w:eastAsia="方正仿宋_GBK"/>
                <w:sz w:val="28"/>
                <w:szCs w:val="28"/>
              </w:rPr>
              <w:t>科普实验单元</w:t>
            </w:r>
          </w:p>
        </w:tc>
        <w:tc>
          <w:tcPr>
            <w:tcW w:w="1359" w:type="dxa"/>
            <w:noWrap w:val="0"/>
            <w:vAlign w:val="center"/>
          </w:tcPr>
          <w:p>
            <w:pPr>
              <w:snapToGrid w:val="0"/>
              <w:spacing w:line="400" w:lineRule="exact"/>
              <w:jc w:val="center"/>
              <w:rPr>
                <w:rFonts w:eastAsia="方正仿宋_GBK"/>
                <w:sz w:val="28"/>
                <w:szCs w:val="28"/>
              </w:rPr>
            </w:pPr>
            <w:r>
              <w:rPr>
                <w:rFonts w:eastAsia="方正仿宋_GBK"/>
                <w:sz w:val="28"/>
                <w:szCs w:val="28"/>
              </w:rPr>
              <w:t>生物环境</w:t>
            </w:r>
          </w:p>
        </w:tc>
        <w:tc>
          <w:tcPr>
            <w:tcW w:w="1275" w:type="dxa"/>
            <w:noWrap w:val="0"/>
            <w:vAlign w:val="center"/>
          </w:tcPr>
          <w:p>
            <w:pPr>
              <w:snapToGrid w:val="0"/>
              <w:spacing w:line="400" w:lineRule="exact"/>
              <w:jc w:val="center"/>
              <w:rPr>
                <w:rFonts w:eastAsia="方正仿宋_GBK"/>
                <w:sz w:val="28"/>
                <w:szCs w:val="28"/>
              </w:rPr>
            </w:pPr>
            <w:r>
              <w:rPr>
                <w:rFonts w:eastAsia="方正仿宋_GBK"/>
                <w:sz w:val="28"/>
                <w:szCs w:val="28"/>
              </w:rPr>
              <w:t>大学组</w:t>
            </w:r>
          </w:p>
        </w:tc>
        <w:tc>
          <w:tcPr>
            <w:tcW w:w="5283" w:type="dxa"/>
            <w:noWrap w:val="0"/>
            <w:vAlign w:val="center"/>
          </w:tcPr>
          <w:p>
            <w:pPr>
              <w:snapToGrid w:val="0"/>
              <w:spacing w:line="400" w:lineRule="exact"/>
              <w:rPr>
                <w:rFonts w:eastAsia="方正仿宋_GBK"/>
                <w:sz w:val="28"/>
                <w:szCs w:val="28"/>
              </w:rPr>
            </w:pPr>
            <w:r>
              <w:rPr>
                <w:rFonts w:eastAsia="方正仿宋_GBK"/>
                <w:sz w:val="28"/>
                <w:szCs w:val="28"/>
              </w:rPr>
              <w:t>以培养基为画板，使在培养基上生长的、表达不同颜色的微生物组成各种各样的图案，制作“细菌画”。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56" w:type="dxa"/>
            <w:vMerge w:val="continue"/>
            <w:noWrap w:val="0"/>
            <w:vAlign w:val="center"/>
          </w:tcPr>
          <w:p>
            <w:pPr>
              <w:snapToGrid w:val="0"/>
              <w:spacing w:line="400" w:lineRule="exact"/>
              <w:jc w:val="center"/>
              <w:rPr>
                <w:rFonts w:eastAsia="方正仿宋_GBK"/>
                <w:sz w:val="28"/>
                <w:szCs w:val="28"/>
              </w:rPr>
            </w:pPr>
          </w:p>
        </w:tc>
        <w:tc>
          <w:tcPr>
            <w:tcW w:w="1359" w:type="dxa"/>
            <w:noWrap w:val="0"/>
            <w:vAlign w:val="center"/>
          </w:tcPr>
          <w:p>
            <w:pPr>
              <w:snapToGrid w:val="0"/>
              <w:spacing w:line="400" w:lineRule="exact"/>
              <w:jc w:val="center"/>
              <w:rPr>
                <w:rFonts w:eastAsia="方正仿宋_GBK"/>
                <w:sz w:val="28"/>
                <w:szCs w:val="28"/>
              </w:rPr>
            </w:pPr>
            <w:r>
              <w:rPr>
                <w:rFonts w:eastAsia="方正仿宋_GBK"/>
                <w:sz w:val="28"/>
                <w:szCs w:val="28"/>
              </w:rPr>
              <w:t>风能利用</w:t>
            </w:r>
          </w:p>
        </w:tc>
        <w:tc>
          <w:tcPr>
            <w:tcW w:w="1275" w:type="dxa"/>
            <w:noWrap w:val="0"/>
            <w:vAlign w:val="center"/>
          </w:tcPr>
          <w:p>
            <w:pPr>
              <w:snapToGrid w:val="0"/>
              <w:spacing w:line="400" w:lineRule="exact"/>
              <w:jc w:val="center"/>
              <w:rPr>
                <w:rFonts w:eastAsia="方正仿宋_GBK"/>
                <w:sz w:val="28"/>
                <w:szCs w:val="28"/>
              </w:rPr>
            </w:pPr>
            <w:r>
              <w:rPr>
                <w:rFonts w:eastAsia="方正仿宋_GBK"/>
                <w:sz w:val="28"/>
                <w:szCs w:val="28"/>
              </w:rPr>
              <w:t>中学组</w:t>
            </w:r>
          </w:p>
        </w:tc>
        <w:tc>
          <w:tcPr>
            <w:tcW w:w="5283" w:type="dxa"/>
            <w:noWrap w:val="0"/>
            <w:vAlign w:val="center"/>
          </w:tcPr>
          <w:p>
            <w:pPr>
              <w:snapToGrid w:val="0"/>
              <w:spacing w:line="400" w:lineRule="exact"/>
              <w:rPr>
                <w:rFonts w:eastAsia="方正仿宋_GBK"/>
                <w:sz w:val="28"/>
                <w:szCs w:val="28"/>
              </w:rPr>
            </w:pPr>
            <w:r>
              <w:rPr>
                <w:rFonts w:eastAsia="方正仿宋_GBK"/>
                <w:sz w:val="28"/>
                <w:szCs w:val="28"/>
              </w:rPr>
              <w:t>自选材料、自定思路设计制作风帆小车。</w:t>
            </w:r>
          </w:p>
        </w:tc>
      </w:tr>
    </w:tbl>
    <w:p>
      <w:pPr>
        <w:snapToGrid w:val="0"/>
        <w:spacing w:line="560" w:lineRule="exact"/>
        <w:ind w:firstLine="640" w:firstLineChars="200"/>
        <w:rPr>
          <w:rFonts w:ascii="楷体" w:hAnsi="楷体" w:eastAsia="楷体"/>
          <w:sz w:val="32"/>
          <w:szCs w:val="32"/>
        </w:rPr>
      </w:pPr>
      <w:r>
        <w:rPr>
          <w:rFonts w:ascii="楷体" w:hAnsi="楷体" w:eastAsia="楷体"/>
          <w:sz w:val="32"/>
          <w:szCs w:val="32"/>
        </w:rPr>
        <w:t>（二）赛程设置</w:t>
      </w:r>
    </w:p>
    <w:p>
      <w:pPr>
        <w:spacing w:line="560" w:lineRule="exact"/>
        <w:ind w:firstLine="640"/>
        <w:rPr>
          <w:rFonts w:eastAsia="仿宋_GB2312"/>
          <w:color w:val="000000"/>
          <w:sz w:val="32"/>
          <w:szCs w:val="32"/>
        </w:rPr>
      </w:pPr>
      <w:r>
        <w:rPr>
          <w:rFonts w:eastAsia="仿宋_GB2312"/>
          <w:color w:val="000000"/>
          <w:sz w:val="32"/>
          <w:szCs w:val="32"/>
        </w:rPr>
        <w:t>大赛分初赛、复赛、决赛环节。</w:t>
      </w:r>
    </w:p>
    <w:p>
      <w:pPr>
        <w:spacing w:line="560" w:lineRule="exact"/>
        <w:ind w:firstLine="640"/>
        <w:rPr>
          <w:rFonts w:eastAsia="仿宋_GB2312"/>
          <w:color w:val="000000"/>
          <w:sz w:val="32"/>
          <w:szCs w:val="32"/>
        </w:rPr>
      </w:pPr>
      <w:r>
        <w:rPr>
          <w:rFonts w:eastAsia="仿宋_GB2312"/>
          <w:color w:val="000000"/>
          <w:sz w:val="32"/>
          <w:szCs w:val="32"/>
        </w:rPr>
        <w:t>初赛：要求在大赛网站提交作品，管理员审核通过后，专家评审确定成绩。</w:t>
      </w:r>
    </w:p>
    <w:p>
      <w:pPr>
        <w:spacing w:line="560" w:lineRule="exact"/>
        <w:ind w:firstLine="640"/>
        <w:rPr>
          <w:rFonts w:eastAsia="仿宋_GB2312"/>
          <w:color w:val="000000"/>
          <w:sz w:val="32"/>
          <w:szCs w:val="32"/>
        </w:rPr>
      </w:pPr>
      <w:r>
        <w:rPr>
          <w:rFonts w:eastAsia="仿宋_GB2312"/>
          <w:color w:val="000000"/>
          <w:sz w:val="32"/>
          <w:szCs w:val="32"/>
        </w:rPr>
        <w:t>复赛：由新疆科技馆负责组织实施，以作品陈述、现场答辩、现场实验制作等形式开展比赛，通过作品评审和比赛，由专家评选每组命题第一名参加决赛。</w:t>
      </w:r>
    </w:p>
    <w:p>
      <w:pPr>
        <w:spacing w:line="560" w:lineRule="exact"/>
        <w:ind w:firstLine="640"/>
        <w:rPr>
          <w:rFonts w:eastAsia="仿宋_GB2312"/>
          <w:color w:val="000000"/>
          <w:sz w:val="32"/>
          <w:szCs w:val="32"/>
        </w:rPr>
      </w:pPr>
      <w:r>
        <w:rPr>
          <w:rFonts w:eastAsia="仿宋_GB2312"/>
          <w:color w:val="000000"/>
          <w:sz w:val="32"/>
          <w:szCs w:val="32"/>
        </w:rPr>
        <w:t>决赛：由中国科学技术馆负责组织实施，以作品陈述、现场答辩、现场实验制作等形式开展比赛。</w:t>
      </w:r>
    </w:p>
    <w:p>
      <w:pPr>
        <w:snapToGrid w:val="0"/>
        <w:spacing w:line="560" w:lineRule="exact"/>
        <w:ind w:firstLine="640" w:firstLineChars="200"/>
        <w:rPr>
          <w:rFonts w:ascii="楷体" w:hAnsi="楷体" w:eastAsia="楷体"/>
          <w:sz w:val="32"/>
          <w:szCs w:val="32"/>
        </w:rPr>
      </w:pPr>
      <w:r>
        <w:rPr>
          <w:rFonts w:ascii="楷体" w:hAnsi="楷体" w:eastAsia="楷体"/>
          <w:sz w:val="32"/>
          <w:szCs w:val="32"/>
        </w:rPr>
        <w:t>（三）评审原则</w:t>
      </w:r>
    </w:p>
    <w:p>
      <w:pPr>
        <w:snapToGrid w:val="0"/>
        <w:spacing w:line="560" w:lineRule="exact"/>
        <w:ind w:firstLine="640" w:firstLineChars="200"/>
        <w:rPr>
          <w:rFonts w:eastAsia="仿宋_GB2312"/>
          <w:sz w:val="32"/>
          <w:szCs w:val="32"/>
        </w:rPr>
      </w:pPr>
      <w:r>
        <w:rPr>
          <w:rFonts w:eastAsia="仿宋_GB2312"/>
          <w:sz w:val="32"/>
          <w:szCs w:val="32"/>
        </w:rPr>
        <w:t>新疆赛区比赛评审工作</w:t>
      </w:r>
      <w:r>
        <w:rPr>
          <w:rFonts w:eastAsia="仿宋_GB2312"/>
          <w:color w:val="000000"/>
          <w:sz w:val="32"/>
          <w:szCs w:val="32"/>
        </w:rPr>
        <w:t>由新疆科技馆负责组织</w:t>
      </w:r>
      <w:r>
        <w:rPr>
          <w:rFonts w:eastAsia="仿宋_GB2312"/>
          <w:sz w:val="32"/>
          <w:szCs w:val="32"/>
        </w:rPr>
        <w:t>。严格按照公平、公正、公开原则开展赛事活动。全国总决赛评审工作由中国科学技术馆组织。入围决赛的作品从真实性、科学性、创新性、实用性等多方面开展比赛。</w:t>
      </w:r>
    </w:p>
    <w:p>
      <w:pPr>
        <w:snapToGrid w:val="0"/>
        <w:spacing w:line="560" w:lineRule="exact"/>
        <w:ind w:firstLine="640" w:firstLineChars="200"/>
        <w:rPr>
          <w:rFonts w:eastAsia="仿宋_GB2312"/>
          <w:sz w:val="32"/>
          <w:szCs w:val="32"/>
        </w:rPr>
      </w:pPr>
      <w:r>
        <w:rPr>
          <w:rFonts w:eastAsia="仿宋_GB2312"/>
          <w:sz w:val="32"/>
          <w:szCs w:val="32"/>
        </w:rPr>
        <w:t>新疆赛区比赛及全国总决赛赛事过程均遵循专家回避原则。</w:t>
      </w:r>
    </w:p>
    <w:p>
      <w:pPr>
        <w:snapToGrid w:val="0"/>
        <w:spacing w:line="560" w:lineRule="exact"/>
        <w:ind w:firstLine="640" w:firstLineChars="200"/>
        <w:rPr>
          <w:rFonts w:eastAsia="黑体"/>
          <w:sz w:val="32"/>
          <w:szCs w:val="32"/>
        </w:rPr>
      </w:pPr>
      <w:r>
        <w:rPr>
          <w:rFonts w:eastAsia="黑体"/>
          <w:sz w:val="32"/>
          <w:szCs w:val="32"/>
        </w:rPr>
        <w:t>七、纪律监督</w:t>
      </w:r>
    </w:p>
    <w:p>
      <w:pPr>
        <w:snapToGrid w:val="0"/>
        <w:spacing w:line="560" w:lineRule="exact"/>
        <w:ind w:firstLine="640" w:firstLineChars="200"/>
        <w:rPr>
          <w:rFonts w:eastAsia="黑体"/>
          <w:sz w:val="32"/>
          <w:szCs w:val="32"/>
        </w:rPr>
      </w:pPr>
      <w:r>
        <w:rPr>
          <w:rFonts w:eastAsia="仿宋_GB2312"/>
          <w:sz w:val="32"/>
          <w:szCs w:val="32"/>
        </w:rPr>
        <w:t>监审委员会对大赛全程进行监督，包括程序合理性、评审公正性等内容。在大赛实施过程中，如发现大赛比赛期间出现违纪违规行为，或者接到投诉或问题的反映，监审委员会应及时调查并协调解决。监审委员会有权要求涉及问题的单位做出相应答复，并督促解决问题措施的执行。</w:t>
      </w:r>
    </w:p>
    <w:p>
      <w:pPr>
        <w:snapToGrid w:val="0"/>
        <w:spacing w:line="560" w:lineRule="exact"/>
        <w:ind w:firstLine="640" w:firstLineChars="200"/>
        <w:rPr>
          <w:rFonts w:eastAsia="黑体"/>
          <w:sz w:val="32"/>
          <w:szCs w:val="32"/>
        </w:rPr>
      </w:pPr>
      <w:r>
        <w:rPr>
          <w:rFonts w:eastAsia="黑体"/>
          <w:sz w:val="32"/>
          <w:szCs w:val="32"/>
        </w:rPr>
        <w:t>八、新疆赛区奖项设置</w:t>
      </w:r>
    </w:p>
    <w:p>
      <w:pPr>
        <w:pStyle w:val="4"/>
        <w:spacing w:line="560" w:lineRule="exact"/>
        <w:ind w:firstLine="632"/>
        <w:rPr>
          <w:rFonts w:ascii="Times New Roman" w:hAnsi="Times New Roman" w:eastAsia="仿宋_GB2312"/>
          <w:color w:val="000000"/>
          <w:sz w:val="32"/>
          <w:szCs w:val="32"/>
        </w:rPr>
      </w:pPr>
      <w:r>
        <w:rPr>
          <w:rFonts w:ascii="Times New Roman" w:hAnsi="Times New Roman" w:eastAsia="仿宋_GB2312"/>
          <w:color w:val="000000"/>
          <w:sz w:val="32"/>
          <w:szCs w:val="32"/>
        </w:rPr>
        <w:t>复赛创意和实验各单元小组赛各设一等奖1名，二等奖2名，三等奖3名，优秀奖若干。</w:t>
      </w:r>
    </w:p>
    <w:tbl>
      <w:tblPr>
        <w:tblStyle w:val="2"/>
        <w:tblpPr w:leftFromText="180" w:rightFromText="180" w:vertAnchor="text" w:horzAnchor="page" w:tblpXSpec="center" w:tblpY="3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73" w:type="dxa"/>
            <w:noWrap w:val="0"/>
            <w:vAlign w:val="top"/>
          </w:tcPr>
          <w:p>
            <w:pPr>
              <w:spacing w:line="560" w:lineRule="exact"/>
              <w:jc w:val="center"/>
              <w:rPr>
                <w:rFonts w:eastAsia="方正仿宋_GBK"/>
                <w:sz w:val="28"/>
                <w:szCs w:val="28"/>
              </w:rPr>
            </w:pPr>
            <w:r>
              <w:rPr>
                <w:rFonts w:eastAsia="方正仿宋_GBK"/>
                <w:color w:val="000000"/>
                <w:sz w:val="28"/>
                <w:szCs w:val="28"/>
              </w:rPr>
              <w:t>一等奖</w:t>
            </w:r>
          </w:p>
        </w:tc>
        <w:tc>
          <w:tcPr>
            <w:tcW w:w="6049" w:type="dxa"/>
            <w:noWrap w:val="0"/>
            <w:vAlign w:val="top"/>
          </w:tcPr>
          <w:p>
            <w:pPr>
              <w:spacing w:line="560" w:lineRule="exact"/>
              <w:jc w:val="center"/>
              <w:rPr>
                <w:rFonts w:eastAsia="方正仿宋_GBK"/>
                <w:sz w:val="28"/>
                <w:szCs w:val="28"/>
              </w:rPr>
            </w:pPr>
            <w:r>
              <w:rPr>
                <w:rFonts w:eastAsia="方正仿宋_GBK"/>
                <w:sz w:val="28"/>
                <w:szCs w:val="28"/>
              </w:rPr>
              <w:t>价值450-500元奖品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noWrap w:val="0"/>
            <w:vAlign w:val="top"/>
          </w:tcPr>
          <w:p>
            <w:pPr>
              <w:spacing w:line="560" w:lineRule="exact"/>
              <w:jc w:val="center"/>
              <w:rPr>
                <w:rFonts w:eastAsia="方正仿宋_GBK"/>
                <w:sz w:val="28"/>
                <w:szCs w:val="28"/>
              </w:rPr>
            </w:pPr>
            <w:r>
              <w:rPr>
                <w:rFonts w:eastAsia="方正仿宋_GBK"/>
                <w:color w:val="000000"/>
                <w:sz w:val="28"/>
                <w:szCs w:val="28"/>
              </w:rPr>
              <w:t>二等奖</w:t>
            </w:r>
          </w:p>
        </w:tc>
        <w:tc>
          <w:tcPr>
            <w:tcW w:w="6049" w:type="dxa"/>
            <w:noWrap w:val="0"/>
            <w:vAlign w:val="top"/>
          </w:tcPr>
          <w:p>
            <w:pPr>
              <w:spacing w:line="560" w:lineRule="exact"/>
              <w:jc w:val="center"/>
              <w:rPr>
                <w:rFonts w:eastAsia="方正仿宋_GBK"/>
                <w:sz w:val="28"/>
                <w:szCs w:val="28"/>
              </w:rPr>
            </w:pPr>
            <w:r>
              <w:rPr>
                <w:rFonts w:eastAsia="方正仿宋_GBK"/>
                <w:sz w:val="28"/>
                <w:szCs w:val="28"/>
              </w:rPr>
              <w:t>价值350-450元奖品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noWrap w:val="0"/>
            <w:vAlign w:val="top"/>
          </w:tcPr>
          <w:p>
            <w:pPr>
              <w:spacing w:line="560" w:lineRule="exact"/>
              <w:jc w:val="center"/>
              <w:rPr>
                <w:rFonts w:eastAsia="方正仿宋_GBK"/>
                <w:sz w:val="28"/>
                <w:szCs w:val="28"/>
              </w:rPr>
            </w:pPr>
            <w:r>
              <w:rPr>
                <w:rFonts w:eastAsia="方正仿宋_GBK"/>
                <w:color w:val="000000"/>
                <w:sz w:val="28"/>
                <w:szCs w:val="28"/>
              </w:rPr>
              <w:t>三等奖</w:t>
            </w:r>
          </w:p>
        </w:tc>
        <w:tc>
          <w:tcPr>
            <w:tcW w:w="6049" w:type="dxa"/>
            <w:noWrap w:val="0"/>
            <w:vAlign w:val="top"/>
          </w:tcPr>
          <w:p>
            <w:pPr>
              <w:spacing w:line="560" w:lineRule="exact"/>
              <w:jc w:val="center"/>
              <w:rPr>
                <w:rFonts w:eastAsia="方正仿宋_GBK"/>
                <w:sz w:val="28"/>
                <w:szCs w:val="28"/>
              </w:rPr>
            </w:pPr>
            <w:r>
              <w:rPr>
                <w:rFonts w:eastAsia="方正仿宋_GBK"/>
                <w:sz w:val="28"/>
                <w:szCs w:val="28"/>
              </w:rPr>
              <w:t>价值300元奖品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noWrap w:val="0"/>
            <w:vAlign w:val="top"/>
          </w:tcPr>
          <w:p>
            <w:pPr>
              <w:pStyle w:val="4"/>
              <w:spacing w:line="560" w:lineRule="exact"/>
              <w:ind w:firstLine="0" w:firstLineChars="0"/>
              <w:jc w:val="center"/>
              <w:rPr>
                <w:rFonts w:ascii="Times New Roman" w:hAnsi="Times New Roman" w:eastAsia="方正仿宋_GBK"/>
                <w:sz w:val="28"/>
                <w:szCs w:val="28"/>
              </w:rPr>
            </w:pPr>
            <w:r>
              <w:rPr>
                <w:rFonts w:ascii="Times New Roman" w:hAnsi="Times New Roman" w:eastAsia="方正仿宋_GBK"/>
                <w:color w:val="000000"/>
                <w:sz w:val="28"/>
                <w:szCs w:val="28"/>
              </w:rPr>
              <w:t>优秀奖</w:t>
            </w:r>
          </w:p>
        </w:tc>
        <w:tc>
          <w:tcPr>
            <w:tcW w:w="6049" w:type="dxa"/>
            <w:noWrap w:val="0"/>
            <w:vAlign w:val="top"/>
          </w:tcPr>
          <w:p>
            <w:pPr>
              <w:spacing w:line="560" w:lineRule="exact"/>
              <w:jc w:val="center"/>
              <w:rPr>
                <w:rFonts w:eastAsia="方正仿宋_GBK"/>
                <w:sz w:val="28"/>
                <w:szCs w:val="28"/>
              </w:rPr>
            </w:pPr>
            <w:r>
              <w:rPr>
                <w:rFonts w:eastAsia="方正仿宋_GBK"/>
                <w:sz w:val="28"/>
                <w:szCs w:val="28"/>
              </w:rPr>
              <w:t>价值150元奖品</w:t>
            </w:r>
          </w:p>
        </w:tc>
      </w:tr>
    </w:tbl>
    <w:p>
      <w:pPr>
        <w:snapToGrid w:val="0"/>
        <w:spacing w:line="560" w:lineRule="exact"/>
        <w:ind w:firstLine="640" w:firstLineChars="200"/>
        <w:rPr>
          <w:rFonts w:eastAsia="黑体"/>
          <w:sz w:val="32"/>
          <w:szCs w:val="32"/>
        </w:rPr>
      </w:pPr>
      <w:r>
        <w:rPr>
          <w:rFonts w:eastAsia="黑体"/>
          <w:sz w:val="32"/>
          <w:szCs w:val="32"/>
        </w:rPr>
        <w:t>九、进度安排</w:t>
      </w:r>
    </w:p>
    <w:p>
      <w:pPr>
        <w:snapToGrid w:val="0"/>
        <w:spacing w:line="560" w:lineRule="exact"/>
        <w:ind w:firstLine="640" w:firstLineChars="200"/>
        <w:rPr>
          <w:rFonts w:eastAsia="仿宋_GB2312"/>
          <w:sz w:val="32"/>
          <w:szCs w:val="32"/>
        </w:rPr>
      </w:pPr>
      <w:r>
        <w:rPr>
          <w:rFonts w:eastAsia="仿宋_GB2312"/>
          <w:sz w:val="32"/>
          <w:szCs w:val="32"/>
        </w:rPr>
        <w:t>（一）2020年11-12月，大赛通知发布阶段。发布大赛方案，组织教师线上培训。</w:t>
      </w:r>
    </w:p>
    <w:p>
      <w:pPr>
        <w:snapToGrid w:val="0"/>
        <w:spacing w:line="560" w:lineRule="exact"/>
        <w:ind w:firstLine="640" w:firstLineChars="200"/>
        <w:rPr>
          <w:rFonts w:eastAsia="仿宋_GB2312"/>
          <w:sz w:val="32"/>
          <w:szCs w:val="32"/>
        </w:rPr>
      </w:pPr>
      <w:r>
        <w:rPr>
          <w:rFonts w:eastAsia="仿宋_GB2312"/>
          <w:sz w:val="32"/>
          <w:szCs w:val="32"/>
        </w:rPr>
        <w:t>（二）2020年12月-2021年1月，新疆赛区初赛阶段。各相关单位组织动员在校学生广泛参与赛事活动，组织参赛人员填写参赛报名表及网上报名工作。</w:t>
      </w:r>
    </w:p>
    <w:p>
      <w:pPr>
        <w:snapToGrid w:val="0"/>
        <w:spacing w:line="560" w:lineRule="exact"/>
        <w:ind w:firstLine="640" w:firstLineChars="200"/>
        <w:rPr>
          <w:rFonts w:eastAsia="仿宋_GB2312"/>
          <w:sz w:val="32"/>
          <w:szCs w:val="32"/>
        </w:rPr>
      </w:pPr>
      <w:r>
        <w:rPr>
          <w:rFonts w:eastAsia="仿宋_GB2312"/>
          <w:sz w:val="32"/>
          <w:szCs w:val="32"/>
        </w:rPr>
        <w:t>（三）2021年3月，新疆赛区复赛阶段。新疆科技馆组织复赛，</w:t>
      </w:r>
      <w:r>
        <w:rPr>
          <w:rFonts w:eastAsia="仿宋_GB2312"/>
          <w:color w:val="000000"/>
          <w:sz w:val="32"/>
          <w:szCs w:val="32"/>
        </w:rPr>
        <w:t>专家评选每组命题第一名</w:t>
      </w:r>
      <w:r>
        <w:rPr>
          <w:rFonts w:eastAsia="仿宋_GB2312"/>
          <w:sz w:val="32"/>
          <w:szCs w:val="32"/>
        </w:rPr>
        <w:t>参加决赛。</w:t>
      </w:r>
    </w:p>
    <w:p>
      <w:pPr>
        <w:snapToGrid w:val="0"/>
        <w:spacing w:line="560" w:lineRule="exact"/>
        <w:ind w:firstLine="640" w:firstLineChars="200"/>
      </w:pPr>
      <w:r>
        <w:rPr>
          <w:rFonts w:eastAsia="仿宋_GB2312"/>
          <w:sz w:val="32"/>
          <w:szCs w:val="32"/>
        </w:rPr>
        <w:t>（四）2021年3-5月，全国总决赛阶段。由中国科学技术馆举办全国总决赛。</w:t>
      </w:r>
    </w:p>
    <w:p>
      <w:pPr>
        <w:snapToGrid w:val="0"/>
        <w:spacing w:line="560" w:lineRule="exact"/>
        <w:ind w:firstLine="640" w:firstLineChars="200"/>
        <w:rPr>
          <w:rFonts w:eastAsia="黑体"/>
          <w:sz w:val="32"/>
          <w:szCs w:val="32"/>
        </w:rPr>
      </w:pPr>
      <w:r>
        <w:rPr>
          <w:rFonts w:eastAsia="黑体"/>
          <w:sz w:val="32"/>
          <w:szCs w:val="32"/>
        </w:rPr>
        <w:t>十、新冠肺炎疫情常态化防控工作要求</w:t>
      </w:r>
    </w:p>
    <w:p>
      <w:pPr>
        <w:overflowPunct w:val="0"/>
        <w:autoSpaceDE w:val="0"/>
        <w:autoSpaceDN w:val="0"/>
        <w:adjustRightInd w:val="0"/>
        <w:snapToGrid w:val="0"/>
        <w:spacing w:line="560" w:lineRule="exact"/>
        <w:ind w:firstLine="640" w:firstLineChars="200"/>
        <w:textAlignment w:val="baseline"/>
        <w:rPr>
          <w:rFonts w:eastAsia="黑体"/>
          <w:sz w:val="32"/>
          <w:szCs w:val="32"/>
        </w:rPr>
      </w:pPr>
      <w:r>
        <w:rPr>
          <w:rFonts w:eastAsia="仿宋_GB2312"/>
          <w:sz w:val="32"/>
          <w:szCs w:val="32"/>
        </w:rPr>
        <w:t>大赛将严格按照国务院联防联控机制关于做好新冠肺炎疫情常态化防控工作的指导意见要求开展工作。坚持预防为主，落实“四早”措施，突出重点环节，压实四方责任，积极制订新疆赛区各阶段现场疫情防控应急预案，确保大赛稳妥、安全有序地开展。</w:t>
      </w:r>
    </w:p>
    <w:p>
      <w:pPr>
        <w:snapToGrid w:val="0"/>
        <w:spacing w:line="560" w:lineRule="exact"/>
        <w:ind w:firstLine="640" w:firstLineChars="200"/>
        <w:rPr>
          <w:rFonts w:eastAsia="黑体"/>
          <w:sz w:val="32"/>
          <w:szCs w:val="32"/>
        </w:rPr>
      </w:pPr>
      <w:r>
        <w:rPr>
          <w:rFonts w:eastAsia="黑体"/>
          <w:sz w:val="32"/>
          <w:szCs w:val="32"/>
        </w:rPr>
        <w:t>十一、工作要求</w:t>
      </w:r>
    </w:p>
    <w:p>
      <w:pPr>
        <w:overflowPunct w:val="0"/>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（一）各相关单位要充分重视大赛组织工作，发动辖区内相关学校申报新疆赛区赛事。通过新闻媒体等方式开展大赛活动的宣传推广。</w:t>
      </w:r>
    </w:p>
    <w:p>
      <w:pPr>
        <w:overflowPunct w:val="0"/>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（二）</w:t>
      </w:r>
      <w:r>
        <w:rPr>
          <w:rFonts w:eastAsia="仿宋_GB2312"/>
          <w:color w:val="000000"/>
          <w:sz w:val="32"/>
          <w:szCs w:val="32"/>
          <w:shd w:val="clear" w:color="auto" w:fill="FFFFFF"/>
        </w:rPr>
        <w:t>新疆维吾尔自治区科学技术协会</w:t>
      </w:r>
      <w:r>
        <w:rPr>
          <w:rFonts w:eastAsia="仿宋_GB2312"/>
          <w:sz w:val="32"/>
          <w:szCs w:val="32"/>
        </w:rPr>
        <w:t>成立专门的大赛组织机构，指定专门负责人具体负责大赛组织、协调、实施等工作，对参赛作品的真实性和科学性严格审核把关，确保大赛公平、公正、公开。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A5545"/>
    <w:rsid w:val="281A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21"/>
    <w:basedOn w:val="1"/>
    <w:qFormat/>
    <w:uiPriority w:val="99"/>
    <w:pPr>
      <w:ind w:firstLine="420" w:firstLineChars="200"/>
    </w:pPr>
    <w:rPr>
      <w:rFonts w:ascii="Calibri" w:hAnsi="Calibri"/>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2020-12-02T04:52:00Z</dcterms:created>
  <dc:creator>WPS_1488521412</dc:creator>
  <cp:lastModifiedBy>WPS_1488521412</cp:lastModifiedBy>
  <dcterms:modified xsi:type="dcterms:W3CDTF">2020-12-02T04:53:25Z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